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ind w:firstLine="0"/>
        <w:contextualSpacing w:val="0"/>
      </w:pPr>
      <w:r w:rsidDel="00000000" w:rsidR="00000000" w:rsidRPr="00000000">
        <w:rPr>
          <w:vertAlign w:val="baseline"/>
          <w:rtl w:val="0"/>
        </w:rPr>
        <w:t xml:space="preserve">{Name} Repository Policies</w:t>
      </w:r>
      <w:r w:rsidDel="00000000" w:rsidR="00000000" w:rsidRPr="00000000">
        <w:rPr>
          <w:rtl w:val="0"/>
        </w:rPr>
      </w:r>
    </w:p>
    <w:p w:rsidR="00000000" w:rsidDel="00000000" w:rsidP="00000000" w:rsidRDefault="00000000" w:rsidRPr="00000000">
      <w:pPr>
        <w:spacing w:after="0" w:before="0" w:line="240" w:lineRule="auto"/>
        <w:ind w:firstLine="0"/>
        <w:contextualSpacing w:val="0"/>
      </w:pPr>
      <w:r w:rsidDel="00000000" w:rsidR="00000000" w:rsidRPr="00000000">
        <w:rPr>
          <w:rtl w:val="0"/>
        </w:rPr>
      </w:r>
    </w:p>
    <w:p w:rsidR="00000000" w:rsidDel="00000000" w:rsidP="00000000" w:rsidRDefault="00000000" w:rsidRPr="00000000">
      <w:pPr>
        <w:spacing w:after="200" w:before="0" w:line="276" w:lineRule="auto"/>
        <w:ind w:firstLine="0"/>
        <w:contextualSpacing w:val="0"/>
        <w:jc w:val="both"/>
      </w:pPr>
      <w:r w:rsidDel="00000000" w:rsidR="00000000" w:rsidRPr="00000000">
        <w:rPr>
          <w:rFonts w:ascii="Arial" w:cs="Arial" w:eastAsia="Arial" w:hAnsi="Arial"/>
          <w:color w:val="000000"/>
          <w:sz w:val="18"/>
          <w:szCs w:val="18"/>
          <w:u w:val="none"/>
          <w:vertAlign w:val="baseline"/>
          <w:rtl w:val="0"/>
        </w:rPr>
        <w:t xml:space="preserve">The Institutional Repository's Policies cover the following areas:</w:t>
      </w:r>
      <w:r w:rsidDel="00000000" w:rsidR="00000000" w:rsidRPr="00000000">
        <w:rPr>
          <w:rtl w:val="0"/>
        </w:rPr>
      </w:r>
    </w:p>
    <w:p w:rsidR="00000000" w:rsidDel="00000000" w:rsidP="00000000" w:rsidRDefault="00000000" w:rsidRPr="00000000">
      <w:pPr>
        <w:numPr>
          <w:ilvl w:val="0"/>
          <w:numId w:val="3"/>
        </w:numPr>
        <w:spacing w:after="200" w:before="0" w:line="276" w:lineRule="auto"/>
        <w:ind w:left="360" w:hanging="360"/>
        <w:jc w:val="both"/>
        <w:rPr/>
      </w:pPr>
      <w:r w:rsidDel="00000000" w:rsidR="00000000" w:rsidRPr="00000000">
        <w:rPr>
          <w:rFonts w:ascii="Arial" w:cs="Arial" w:eastAsia="Arial" w:hAnsi="Arial"/>
          <w:color w:val="262626"/>
          <w:sz w:val="18"/>
          <w:szCs w:val="18"/>
          <w:vertAlign w:val="baseline"/>
          <w:rtl w:val="0"/>
        </w:rPr>
        <w:t xml:space="preserve">Access to and Reuse of Knowledge</w:t>
      </w:r>
      <w:r w:rsidDel="00000000" w:rsidR="00000000" w:rsidRPr="00000000">
        <w:rPr>
          <w:rtl w:val="0"/>
        </w:rPr>
      </w:r>
    </w:p>
    <w:p w:rsidR="00000000" w:rsidDel="00000000" w:rsidP="00000000" w:rsidRDefault="00000000" w:rsidRPr="00000000">
      <w:pPr>
        <w:numPr>
          <w:ilvl w:val="0"/>
          <w:numId w:val="3"/>
        </w:numPr>
        <w:spacing w:after="200" w:before="0" w:line="276" w:lineRule="auto"/>
        <w:ind w:left="360" w:hanging="360"/>
        <w:jc w:val="both"/>
        <w:rPr/>
      </w:pPr>
      <w:r w:rsidDel="00000000" w:rsidR="00000000" w:rsidRPr="00000000">
        <w:rPr>
          <w:rFonts w:ascii="Arial" w:cs="Arial" w:eastAsia="Arial" w:hAnsi="Arial"/>
          <w:color w:val="262626"/>
          <w:sz w:val="18"/>
          <w:szCs w:val="18"/>
          <w:vertAlign w:val="baseline"/>
          <w:rtl w:val="0"/>
        </w:rPr>
        <w:t xml:space="preserve">Personal Data</w:t>
      </w:r>
      <w:r w:rsidDel="00000000" w:rsidR="00000000" w:rsidRPr="00000000">
        <w:rPr>
          <w:rtl w:val="0"/>
        </w:rPr>
      </w:r>
    </w:p>
    <w:p w:rsidR="00000000" w:rsidDel="00000000" w:rsidP="00000000" w:rsidRDefault="00000000" w:rsidRPr="00000000">
      <w:pPr>
        <w:numPr>
          <w:ilvl w:val="0"/>
          <w:numId w:val="3"/>
        </w:numPr>
        <w:spacing w:after="200" w:before="0" w:line="276" w:lineRule="auto"/>
        <w:ind w:left="360" w:hanging="360"/>
        <w:jc w:val="both"/>
        <w:rPr/>
      </w:pPr>
      <w:r w:rsidDel="00000000" w:rsidR="00000000" w:rsidRPr="00000000">
        <w:rPr>
          <w:rFonts w:ascii="Arial" w:cs="Arial" w:eastAsia="Arial" w:hAnsi="Arial"/>
          <w:color w:val="262626"/>
          <w:sz w:val="18"/>
          <w:szCs w:val="18"/>
          <w:vertAlign w:val="baseline"/>
          <w:rtl w:val="0"/>
        </w:rPr>
        <w:t xml:space="preserve">Fair Terms of Use (ToS)</w:t>
      </w:r>
      <w:r w:rsidDel="00000000" w:rsidR="00000000" w:rsidRPr="00000000">
        <w:rPr>
          <w:rtl w:val="0"/>
        </w:rPr>
      </w:r>
    </w:p>
    <w:p w:rsidR="00000000" w:rsidDel="00000000" w:rsidP="00000000" w:rsidRDefault="00000000" w:rsidRPr="00000000">
      <w:pPr>
        <w:pStyle w:val="Heading1"/>
        <w:numPr>
          <w:ilvl w:val="0"/>
          <w:numId w:val="1"/>
        </w:numPr>
        <w:ind w:left="360" w:hanging="360"/>
        <w:rPr/>
      </w:pPr>
      <w:r w:rsidDel="00000000" w:rsidR="00000000" w:rsidRPr="00000000">
        <w:rPr>
          <w:vertAlign w:val="baseline"/>
          <w:rtl w:val="0"/>
        </w:rPr>
        <w:t xml:space="preserve">Access to and Reuse of Knowledge Policy</w:t>
      </w:r>
      <w:r w:rsidDel="00000000" w:rsidR="00000000" w:rsidRPr="00000000">
        <w:rPr>
          <w:rtl w:val="0"/>
        </w:rPr>
      </w:r>
    </w:p>
    <w:p w:rsidR="00000000" w:rsidDel="00000000" w:rsidP="00000000" w:rsidRDefault="00000000" w:rsidRPr="00000000">
      <w:pPr>
        <w:spacing w:after="200" w:before="0" w:line="276" w:lineRule="auto"/>
        <w:ind w:firstLine="0"/>
        <w:contextualSpacing w:val="0"/>
        <w:jc w:val="both"/>
      </w:pPr>
      <w:r w:rsidDel="00000000" w:rsidR="00000000" w:rsidRPr="00000000">
        <w:rPr>
          <w:rFonts w:ascii="Arial" w:cs="Arial" w:eastAsia="Arial" w:hAnsi="Arial"/>
          <w:color w:val="262626"/>
          <w:sz w:val="18"/>
          <w:szCs w:val="18"/>
          <w:vertAlign w:val="baseline"/>
          <w:rtl w:val="0"/>
        </w:rPr>
        <w:t xml:space="preserve">Consistent with its core mission to enrich and expand the Commons, the Institution is committed in using in all its Web Sites Free/ Open Technologies/ Source Code/ Data and Standards and to offer the entirety of tis content (including both data and metadata) with licences that follow the Open Data and Free Cultural Works Definitions through Free/ Open Web Services. </w:t>
      </w:r>
      <w:r w:rsidDel="00000000" w:rsidR="00000000" w:rsidRPr="00000000">
        <w:rPr>
          <w:rtl w:val="0"/>
        </w:rPr>
      </w:r>
    </w:p>
    <w:p w:rsidR="00000000" w:rsidDel="00000000" w:rsidP="00000000" w:rsidRDefault="00000000" w:rsidRPr="00000000">
      <w:pPr>
        <w:spacing w:after="200" w:before="0" w:line="276" w:lineRule="auto"/>
        <w:ind w:firstLine="0"/>
        <w:contextualSpacing w:val="0"/>
        <w:jc w:val="both"/>
      </w:pPr>
      <w:r w:rsidDel="00000000" w:rsidR="00000000" w:rsidRPr="00000000">
        <w:rPr>
          <w:rFonts w:ascii="Arial" w:cs="Arial" w:eastAsia="Arial" w:hAnsi="Arial"/>
          <w:color w:val="262626"/>
          <w:sz w:val="18"/>
          <w:szCs w:val="18"/>
          <w:vertAlign w:val="baseline"/>
          <w:rtl w:val="0"/>
        </w:rPr>
        <w:t xml:space="preserve">This means that all the layers of the service stack that are offered through the Institution's web-sites follow common principles of Open/ Free use and re-use. More specifically, where no third parties rights subsist:</w:t>
      </w:r>
      <w:r w:rsidDel="00000000" w:rsidR="00000000" w:rsidRPr="00000000">
        <w:rPr>
          <w:rtl w:val="0"/>
        </w:rPr>
      </w:r>
    </w:p>
    <w:p w:rsidR="00000000" w:rsidDel="00000000" w:rsidP="00000000" w:rsidRDefault="00000000" w:rsidRPr="00000000">
      <w:pPr>
        <w:spacing w:after="200" w:before="0" w:line="276" w:lineRule="auto"/>
        <w:ind w:firstLine="0"/>
        <w:contextualSpacing w:val="0"/>
        <w:jc w:val="both"/>
      </w:pPr>
      <w:r w:rsidDel="00000000" w:rsidR="00000000" w:rsidRPr="00000000">
        <w:rPr>
          <w:rFonts w:ascii="Arial" w:cs="Arial" w:eastAsia="Arial" w:hAnsi="Arial"/>
          <w:b w:val="1"/>
          <w:color w:val="365f91"/>
          <w:sz w:val="18"/>
          <w:szCs w:val="18"/>
          <w:vertAlign w:val="baseline"/>
          <w:rtl w:val="0"/>
        </w:rPr>
        <w:t xml:space="preserve">(a)</w:t>
      </w:r>
      <w:r w:rsidDel="00000000" w:rsidR="00000000" w:rsidRPr="00000000">
        <w:rPr>
          <w:rFonts w:ascii="Arial" w:cs="Arial" w:eastAsia="Arial" w:hAnsi="Arial"/>
          <w:color w:val="262626"/>
          <w:sz w:val="18"/>
          <w:szCs w:val="18"/>
          <w:vertAlign w:val="baseline"/>
          <w:rtl w:val="0"/>
        </w:rPr>
        <w:t xml:space="preserve"> Free/ Open standards are used</w:t>
      </w:r>
      <w:r w:rsidDel="00000000" w:rsidR="00000000" w:rsidRPr="00000000">
        <w:rPr>
          <w:rtl w:val="0"/>
        </w:rPr>
      </w:r>
    </w:p>
    <w:p w:rsidR="00000000" w:rsidDel="00000000" w:rsidP="00000000" w:rsidRDefault="00000000" w:rsidRPr="00000000">
      <w:pPr>
        <w:spacing w:after="200" w:before="0" w:line="276" w:lineRule="auto"/>
        <w:ind w:firstLine="0"/>
        <w:contextualSpacing w:val="0"/>
        <w:jc w:val="both"/>
      </w:pPr>
      <w:r w:rsidDel="00000000" w:rsidR="00000000" w:rsidRPr="00000000">
        <w:rPr>
          <w:rFonts w:ascii="Arial" w:cs="Arial" w:eastAsia="Arial" w:hAnsi="Arial"/>
          <w:b w:val="1"/>
          <w:color w:val="365f91"/>
          <w:sz w:val="18"/>
          <w:szCs w:val="18"/>
          <w:vertAlign w:val="baseline"/>
          <w:rtl w:val="0"/>
        </w:rPr>
        <w:t xml:space="preserve">(b)</w:t>
      </w:r>
      <w:r w:rsidDel="00000000" w:rsidR="00000000" w:rsidRPr="00000000">
        <w:rPr>
          <w:rFonts w:ascii="Arial" w:cs="Arial" w:eastAsia="Arial" w:hAnsi="Arial"/>
          <w:color w:val="262626"/>
          <w:sz w:val="18"/>
          <w:szCs w:val="18"/>
          <w:vertAlign w:val="baseline"/>
          <w:rtl w:val="0"/>
        </w:rPr>
        <w:t xml:space="preserve"> Free/ Open formats are used</w:t>
      </w:r>
      <w:r w:rsidDel="00000000" w:rsidR="00000000" w:rsidRPr="00000000">
        <w:rPr>
          <w:rtl w:val="0"/>
        </w:rPr>
      </w:r>
    </w:p>
    <w:p w:rsidR="00000000" w:rsidDel="00000000" w:rsidP="00000000" w:rsidRDefault="00000000" w:rsidRPr="00000000">
      <w:pPr>
        <w:spacing w:after="200" w:before="0" w:line="276" w:lineRule="auto"/>
        <w:ind w:firstLine="0"/>
        <w:contextualSpacing w:val="0"/>
        <w:jc w:val="both"/>
      </w:pPr>
      <w:r w:rsidDel="00000000" w:rsidR="00000000" w:rsidRPr="00000000">
        <w:rPr>
          <w:rFonts w:ascii="Arial" w:cs="Arial" w:eastAsia="Arial" w:hAnsi="Arial"/>
          <w:b w:val="1"/>
          <w:color w:val="365f91"/>
          <w:sz w:val="18"/>
          <w:szCs w:val="18"/>
          <w:vertAlign w:val="baseline"/>
          <w:rtl w:val="0"/>
        </w:rPr>
        <w:t xml:space="preserve">(c)</w:t>
      </w:r>
      <w:r w:rsidDel="00000000" w:rsidR="00000000" w:rsidRPr="00000000">
        <w:rPr>
          <w:rFonts w:ascii="Arial" w:cs="Arial" w:eastAsia="Arial" w:hAnsi="Arial"/>
          <w:color w:val="262626"/>
          <w:sz w:val="18"/>
          <w:szCs w:val="18"/>
          <w:vertAlign w:val="baseline"/>
          <w:rtl w:val="0"/>
        </w:rPr>
        <w:t xml:space="preserve"> Free/ Open Source Software is used</w:t>
      </w:r>
      <w:r w:rsidDel="00000000" w:rsidR="00000000" w:rsidRPr="00000000">
        <w:rPr>
          <w:rtl w:val="0"/>
        </w:rPr>
      </w:r>
    </w:p>
    <w:p w:rsidR="00000000" w:rsidDel="00000000" w:rsidP="00000000" w:rsidRDefault="00000000" w:rsidRPr="00000000">
      <w:pPr>
        <w:spacing w:after="200" w:before="0" w:line="276" w:lineRule="auto"/>
        <w:ind w:firstLine="0"/>
        <w:contextualSpacing w:val="0"/>
        <w:jc w:val="both"/>
      </w:pPr>
      <w:r w:rsidDel="00000000" w:rsidR="00000000" w:rsidRPr="00000000">
        <w:rPr>
          <w:rFonts w:ascii="Arial" w:cs="Arial" w:eastAsia="Arial" w:hAnsi="Arial"/>
          <w:b w:val="1"/>
          <w:color w:val="365f91"/>
          <w:sz w:val="18"/>
          <w:szCs w:val="18"/>
          <w:vertAlign w:val="baseline"/>
          <w:rtl w:val="0"/>
        </w:rPr>
        <w:t xml:space="preserve">(d)</w:t>
      </w:r>
      <w:r w:rsidDel="00000000" w:rsidR="00000000" w:rsidRPr="00000000">
        <w:rPr>
          <w:rFonts w:ascii="Arial" w:cs="Arial" w:eastAsia="Arial" w:hAnsi="Arial"/>
          <w:color w:val="262626"/>
          <w:sz w:val="18"/>
          <w:szCs w:val="18"/>
          <w:vertAlign w:val="baseline"/>
          <w:rtl w:val="0"/>
        </w:rPr>
        <w:t xml:space="preserve"> All Institution's web-sites are open access web sites</w:t>
      </w:r>
      <w:r w:rsidDel="00000000" w:rsidR="00000000" w:rsidRPr="00000000">
        <w:rPr>
          <w:rtl w:val="0"/>
        </w:rPr>
      </w:r>
    </w:p>
    <w:p w:rsidR="00000000" w:rsidDel="00000000" w:rsidP="00000000" w:rsidRDefault="00000000" w:rsidRPr="00000000">
      <w:pPr>
        <w:spacing w:after="200" w:before="0" w:line="276" w:lineRule="auto"/>
        <w:ind w:firstLine="0"/>
        <w:contextualSpacing w:val="0"/>
        <w:jc w:val="both"/>
      </w:pPr>
      <w:r w:rsidDel="00000000" w:rsidR="00000000" w:rsidRPr="00000000">
        <w:rPr>
          <w:rFonts w:ascii="Arial" w:cs="Arial" w:eastAsia="Arial" w:hAnsi="Arial"/>
          <w:b w:val="1"/>
          <w:color w:val="365f91"/>
          <w:sz w:val="18"/>
          <w:szCs w:val="18"/>
          <w:vertAlign w:val="baseline"/>
          <w:rtl w:val="0"/>
        </w:rPr>
        <w:t xml:space="preserve">(e)</w:t>
      </w:r>
      <w:r w:rsidDel="00000000" w:rsidR="00000000" w:rsidRPr="00000000">
        <w:rPr>
          <w:rFonts w:ascii="Arial" w:cs="Arial" w:eastAsia="Arial" w:hAnsi="Arial"/>
          <w:color w:val="262626"/>
          <w:sz w:val="18"/>
          <w:szCs w:val="18"/>
          <w:vertAlign w:val="baseline"/>
          <w:rtl w:val="0"/>
        </w:rPr>
        <w:t xml:space="preserve"> All content made available conform to the </w:t>
      </w:r>
      <w:hyperlink r:id="rId5">
        <w:r w:rsidDel="00000000" w:rsidR="00000000" w:rsidRPr="00000000">
          <w:rPr>
            <w:rFonts w:ascii="Arial" w:cs="Arial" w:eastAsia="Arial" w:hAnsi="Arial"/>
            <w:color w:val="0000ff"/>
            <w:sz w:val="18"/>
            <w:szCs w:val="18"/>
            <w:u w:val="single"/>
            <w:vertAlign w:val="baseline"/>
            <w:rtl w:val="0"/>
          </w:rPr>
          <w:t xml:space="preserve">Free Cultural Works Definition</w:t>
        </w:r>
      </w:hyperlink>
      <w:hyperlink r:id="rId6">
        <w:r w:rsidDel="00000000" w:rsidR="00000000" w:rsidRPr="00000000">
          <w:rPr>
            <w:rtl w:val="0"/>
          </w:rPr>
        </w:r>
      </w:hyperlink>
    </w:p>
    <w:p w:rsidR="00000000" w:rsidDel="00000000" w:rsidP="00000000" w:rsidRDefault="00000000" w:rsidRPr="00000000">
      <w:pPr>
        <w:spacing w:after="200" w:before="0" w:line="276" w:lineRule="auto"/>
        <w:ind w:firstLine="0"/>
        <w:contextualSpacing w:val="0"/>
        <w:jc w:val="both"/>
      </w:pPr>
      <w:r w:rsidDel="00000000" w:rsidR="00000000" w:rsidRPr="00000000">
        <w:rPr>
          <w:rFonts w:ascii="Arial" w:cs="Arial" w:eastAsia="Arial" w:hAnsi="Arial"/>
          <w:b w:val="1"/>
          <w:color w:val="365f91"/>
          <w:sz w:val="18"/>
          <w:szCs w:val="18"/>
          <w:vertAlign w:val="baseline"/>
          <w:rtl w:val="0"/>
        </w:rPr>
        <w:t xml:space="preserve">(f)</w:t>
      </w:r>
      <w:r w:rsidDel="00000000" w:rsidR="00000000" w:rsidRPr="00000000">
        <w:rPr>
          <w:rFonts w:ascii="Arial" w:cs="Arial" w:eastAsia="Arial" w:hAnsi="Arial"/>
          <w:color w:val="262626"/>
          <w:sz w:val="18"/>
          <w:szCs w:val="18"/>
          <w:vertAlign w:val="baseline"/>
          <w:rtl w:val="0"/>
        </w:rPr>
        <w:t xml:space="preserve"> All data made available conform to the </w:t>
      </w:r>
      <w:hyperlink r:id="rId7">
        <w:r w:rsidDel="00000000" w:rsidR="00000000" w:rsidRPr="00000000">
          <w:rPr>
            <w:rFonts w:ascii="Arial" w:cs="Arial" w:eastAsia="Arial" w:hAnsi="Arial"/>
            <w:color w:val="0000ff"/>
            <w:sz w:val="18"/>
            <w:szCs w:val="18"/>
            <w:u w:val="single"/>
            <w:vertAlign w:val="baseline"/>
            <w:rtl w:val="0"/>
          </w:rPr>
          <w:t xml:space="preserve">Open Data Definition</w:t>
        </w:r>
      </w:hyperlink>
      <w:hyperlink r:id="rId8">
        <w:r w:rsidDel="00000000" w:rsidR="00000000" w:rsidRPr="00000000">
          <w:rPr>
            <w:rtl w:val="0"/>
          </w:rPr>
        </w:r>
      </w:hyperlink>
    </w:p>
    <w:p w:rsidR="00000000" w:rsidDel="00000000" w:rsidP="00000000" w:rsidRDefault="00000000" w:rsidRPr="00000000">
      <w:pPr>
        <w:spacing w:after="200" w:before="0" w:line="276" w:lineRule="auto"/>
        <w:ind w:firstLine="0"/>
        <w:contextualSpacing w:val="0"/>
        <w:jc w:val="both"/>
      </w:pPr>
      <w:r w:rsidDel="00000000" w:rsidR="00000000" w:rsidRPr="00000000">
        <w:rPr>
          <w:rFonts w:ascii="Arial" w:cs="Arial" w:eastAsia="Arial" w:hAnsi="Arial"/>
          <w:b w:val="1"/>
          <w:color w:val="365f91"/>
          <w:sz w:val="18"/>
          <w:szCs w:val="18"/>
          <w:vertAlign w:val="baseline"/>
          <w:rtl w:val="0"/>
        </w:rPr>
        <w:t xml:space="preserve">(g)</w:t>
      </w:r>
      <w:r w:rsidDel="00000000" w:rsidR="00000000" w:rsidRPr="00000000">
        <w:rPr>
          <w:rFonts w:ascii="Arial" w:cs="Arial" w:eastAsia="Arial" w:hAnsi="Arial"/>
          <w:color w:val="262626"/>
          <w:sz w:val="18"/>
          <w:szCs w:val="18"/>
          <w:vertAlign w:val="baseline"/>
          <w:rtl w:val="0"/>
        </w:rPr>
        <w:t xml:space="preserve"> All services offered through the Institution's web-sites conform to the </w:t>
      </w:r>
      <w:hyperlink r:id="rId9">
        <w:r w:rsidDel="00000000" w:rsidR="00000000" w:rsidRPr="00000000">
          <w:rPr>
            <w:rFonts w:ascii="Arial" w:cs="Arial" w:eastAsia="Arial" w:hAnsi="Arial"/>
            <w:color w:val="0000ff"/>
            <w:sz w:val="18"/>
            <w:szCs w:val="18"/>
            <w:u w:val="single"/>
            <w:vertAlign w:val="baseline"/>
            <w:rtl w:val="0"/>
          </w:rPr>
          <w:t xml:space="preserve">Open Service Definition</w:t>
        </w:r>
      </w:hyperlink>
      <w:hyperlink r:id="rId10">
        <w:r w:rsidDel="00000000" w:rsidR="00000000" w:rsidRPr="00000000">
          <w:rPr>
            <w:rtl w:val="0"/>
          </w:rPr>
        </w:r>
      </w:hyperlink>
    </w:p>
    <w:p w:rsidR="00000000" w:rsidDel="00000000" w:rsidP="00000000" w:rsidRDefault="00000000" w:rsidRPr="00000000">
      <w:pPr>
        <w:pStyle w:val="Heading1"/>
        <w:numPr>
          <w:ilvl w:val="0"/>
          <w:numId w:val="1"/>
        </w:numPr>
        <w:ind w:left="360" w:hanging="360"/>
        <w:rPr/>
      </w:pPr>
      <w:r w:rsidDel="00000000" w:rsidR="00000000" w:rsidRPr="00000000">
        <w:rPr>
          <w:vertAlign w:val="baseline"/>
          <w:rtl w:val="0"/>
        </w:rPr>
        <w:t xml:space="preserve">Personal Data Policy</w:t>
      </w:r>
      <w:r w:rsidDel="00000000" w:rsidR="00000000" w:rsidRPr="00000000">
        <w:rPr>
          <w:rtl w:val="0"/>
        </w:rPr>
      </w:r>
    </w:p>
    <w:p w:rsidR="00000000" w:rsidDel="00000000" w:rsidP="00000000" w:rsidRDefault="00000000" w:rsidRPr="00000000">
      <w:pPr>
        <w:spacing w:after="200" w:before="0" w:line="276" w:lineRule="auto"/>
        <w:ind w:firstLine="0"/>
        <w:contextualSpacing w:val="0"/>
        <w:jc w:val="both"/>
      </w:pPr>
      <w:r w:rsidDel="00000000" w:rsidR="00000000" w:rsidRPr="00000000">
        <w:rPr>
          <w:rFonts w:ascii="Arial" w:cs="Arial" w:eastAsia="Arial" w:hAnsi="Arial"/>
          <w:color w:val="262626"/>
          <w:sz w:val="18"/>
          <w:szCs w:val="18"/>
          <w:vertAlign w:val="baseline"/>
          <w:rtl w:val="0"/>
        </w:rPr>
        <w:t xml:space="preserve">The Institution does not collect any personal data through its web-sites unless this is necessary for offering the optimum service level to the end user. In any case, all personal data processing:</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jc w:val="both"/>
        <w:rPr/>
      </w:pPr>
      <w:r w:rsidDel="00000000" w:rsidR="00000000" w:rsidRPr="00000000">
        <w:rPr>
          <w:rFonts w:ascii="Arial" w:cs="Arial" w:eastAsia="Arial" w:hAnsi="Arial"/>
          <w:color w:val="262626"/>
          <w:sz w:val="18"/>
          <w:szCs w:val="18"/>
          <w:vertAlign w:val="baseline"/>
          <w:rtl w:val="0"/>
        </w:rPr>
        <w:t xml:space="preserve">Is in accordance to the Law</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jc w:val="both"/>
        <w:rPr/>
      </w:pPr>
      <w:r w:rsidDel="00000000" w:rsidR="00000000" w:rsidRPr="00000000">
        <w:rPr>
          <w:rFonts w:ascii="Arial" w:cs="Arial" w:eastAsia="Arial" w:hAnsi="Arial"/>
          <w:color w:val="262626"/>
          <w:sz w:val="18"/>
          <w:szCs w:val="18"/>
          <w:vertAlign w:val="baseline"/>
          <w:rtl w:val="0"/>
        </w:rPr>
        <w:t xml:space="preserve">It is for specific purposes and for a duration that are made known to the data subject in advance</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jc w:val="both"/>
        <w:rPr/>
      </w:pPr>
      <w:r w:rsidDel="00000000" w:rsidR="00000000" w:rsidRPr="00000000">
        <w:rPr>
          <w:rFonts w:ascii="Arial" w:cs="Arial" w:eastAsia="Arial" w:hAnsi="Arial"/>
          <w:color w:val="262626"/>
          <w:sz w:val="18"/>
          <w:szCs w:val="18"/>
          <w:vertAlign w:val="baseline"/>
          <w:rtl w:val="0"/>
        </w:rPr>
        <w:t xml:space="preserve">It is done only with the consent of the data subject or in accordance to the Law</w:t>
      </w:r>
      <w:r w:rsidDel="00000000" w:rsidR="00000000" w:rsidRPr="00000000">
        <w:rPr>
          <w:rtl w:val="0"/>
        </w:rPr>
      </w:r>
    </w:p>
    <w:p w:rsidR="00000000" w:rsidDel="00000000" w:rsidP="00000000" w:rsidRDefault="00000000" w:rsidRPr="00000000">
      <w:pPr>
        <w:spacing w:after="200" w:before="0" w:line="276" w:lineRule="auto"/>
        <w:ind w:firstLine="0"/>
        <w:contextualSpacing w:val="0"/>
        <w:jc w:val="both"/>
      </w:pPr>
      <w:r w:rsidDel="00000000" w:rsidR="00000000" w:rsidRPr="00000000">
        <w:rPr>
          <w:rtl w:val="0"/>
        </w:rPr>
      </w:r>
    </w:p>
    <w:p w:rsidR="00000000" w:rsidDel="00000000" w:rsidP="00000000" w:rsidRDefault="00000000" w:rsidRPr="00000000">
      <w:pPr>
        <w:spacing w:after="200" w:before="0" w:line="276" w:lineRule="auto"/>
        <w:ind w:firstLine="0"/>
        <w:contextualSpacing w:val="0"/>
        <w:jc w:val="both"/>
      </w:pPr>
      <w:r w:rsidDel="00000000" w:rsidR="00000000" w:rsidRPr="00000000">
        <w:rPr>
          <w:rFonts w:ascii="Arial" w:cs="Arial" w:eastAsia="Arial" w:hAnsi="Arial"/>
          <w:color w:val="262626"/>
          <w:sz w:val="18"/>
          <w:szCs w:val="18"/>
          <w:vertAlign w:val="baseline"/>
          <w:rtl w:val="0"/>
        </w:rPr>
        <w:t xml:space="preserve">In addition:</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jc w:val="both"/>
        <w:rPr/>
      </w:pPr>
      <w:r w:rsidDel="00000000" w:rsidR="00000000" w:rsidRPr="00000000">
        <w:rPr>
          <w:rFonts w:ascii="Arial" w:cs="Arial" w:eastAsia="Arial" w:hAnsi="Arial"/>
          <w:color w:val="262626"/>
          <w:sz w:val="18"/>
          <w:szCs w:val="18"/>
          <w:vertAlign w:val="baseline"/>
          <w:rtl w:val="0"/>
        </w:rPr>
        <w:t xml:space="preserve">The data subject maintains her right to access her personal data and know the types of processing in accordance to the Law</w:t>
      </w:r>
      <w:r w:rsidDel="00000000" w:rsidR="00000000" w:rsidRPr="00000000">
        <w:rPr>
          <w:rtl w:val="0"/>
        </w:rPr>
      </w:r>
    </w:p>
    <w:p w:rsidR="00000000" w:rsidDel="00000000" w:rsidP="00000000" w:rsidRDefault="00000000" w:rsidRPr="00000000">
      <w:pPr>
        <w:numPr>
          <w:ilvl w:val="0"/>
          <w:numId w:val="2"/>
        </w:numPr>
        <w:spacing w:after="200" w:before="0" w:line="276" w:lineRule="auto"/>
        <w:ind w:left="720" w:hanging="360"/>
        <w:contextualSpacing w:val="1"/>
        <w:jc w:val="both"/>
        <w:rPr/>
      </w:pPr>
      <w:r w:rsidDel="00000000" w:rsidR="00000000" w:rsidRPr="00000000">
        <w:rPr>
          <w:rFonts w:ascii="Arial" w:cs="Arial" w:eastAsia="Arial" w:hAnsi="Arial"/>
          <w:color w:val="000000"/>
          <w:sz w:val="18"/>
          <w:szCs w:val="18"/>
          <w:u w:val="none"/>
          <w:vertAlign w:val="baseline"/>
          <w:rtl w:val="0"/>
        </w:rPr>
        <w:t xml:space="preserve">The Institution </w:t>
      </w:r>
      <w:r w:rsidDel="00000000" w:rsidR="00000000" w:rsidRPr="00000000">
        <w:rPr>
          <w:rFonts w:ascii="Arial" w:cs="Arial" w:eastAsia="Arial" w:hAnsi="Arial"/>
          <w:color w:val="262626"/>
          <w:sz w:val="18"/>
          <w:szCs w:val="18"/>
          <w:vertAlign w:val="baseline"/>
          <w:rtl w:val="0"/>
        </w:rPr>
        <w:t xml:space="preserve">does not share personal data with third parties, nor does it have any commercial gain from their use</w:t>
      </w:r>
      <w:r w:rsidDel="00000000" w:rsidR="00000000" w:rsidRPr="00000000">
        <w:rPr>
          <w:rtl w:val="0"/>
        </w:rPr>
      </w:r>
    </w:p>
    <w:p w:rsidR="00000000" w:rsidDel="00000000" w:rsidP="00000000" w:rsidRDefault="00000000" w:rsidRPr="00000000">
      <w:pPr>
        <w:pStyle w:val="Heading1"/>
        <w:numPr>
          <w:ilvl w:val="0"/>
          <w:numId w:val="1"/>
        </w:numPr>
        <w:ind w:left="360" w:hanging="360"/>
        <w:rPr/>
      </w:pPr>
      <w:r w:rsidDel="00000000" w:rsidR="00000000" w:rsidRPr="00000000">
        <w:rPr>
          <w:vertAlign w:val="baseline"/>
          <w:rtl w:val="0"/>
        </w:rPr>
        <w:t xml:space="preserve">Fair Terms of Use Policy</w:t>
      </w:r>
      <w:r w:rsidDel="00000000" w:rsidR="00000000" w:rsidRPr="00000000">
        <w:rPr>
          <w:rtl w:val="0"/>
        </w:rPr>
      </w:r>
    </w:p>
    <w:p w:rsidR="00000000" w:rsidDel="00000000" w:rsidP="00000000" w:rsidRDefault="00000000" w:rsidRPr="00000000">
      <w:pPr>
        <w:spacing w:after="200" w:before="0" w:line="276" w:lineRule="auto"/>
        <w:ind w:firstLine="0"/>
        <w:contextualSpacing w:val="0"/>
        <w:jc w:val="both"/>
      </w:pPr>
      <w:r w:rsidDel="00000000" w:rsidR="00000000" w:rsidRPr="00000000">
        <w:rPr>
          <w:rFonts w:ascii="Arial" w:cs="Arial" w:eastAsia="Arial" w:hAnsi="Arial"/>
          <w:color w:val="262626"/>
          <w:sz w:val="18"/>
          <w:szCs w:val="18"/>
          <w:vertAlign w:val="baseline"/>
          <w:rtl w:val="0"/>
        </w:rPr>
        <w:t xml:space="preserve">The Institution is committed to openness and transparency and aims at protecting the interests of the end user. It will only use fair terms and notify the end user for any change of the terms of use of its web-sites and services. </w:t>
      </w:r>
      <w:r w:rsidDel="00000000" w:rsidR="00000000" w:rsidRPr="00000000">
        <w:rPr>
          <w:rtl w:val="0"/>
        </w:rPr>
      </w:r>
    </w:p>
    <w:sectPr>
      <w:pgSz w:h="16838" w:w="11906"/>
      <w:pgMar w:bottom="1134" w:top="1134"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firstLine="0"/>
      </w:pPr>
      <w:rPr>
        <w:rFonts w:ascii="Arial" w:cs="Arial" w:eastAsia="Arial" w:hAnsi="Arial"/>
        <w:vertAlign w:val="baseline"/>
      </w:rPr>
    </w:lvl>
    <w:lvl w:ilvl="1">
      <w:start w:val="1"/>
      <w:numFmt w:val="lowerLetter"/>
      <w:lvlText w:val="%2."/>
      <w:lvlJc w:val="left"/>
      <w:pPr>
        <w:ind w:left="1080" w:firstLine="720"/>
      </w:pPr>
      <w:rPr>
        <w:rFonts w:ascii="Arial" w:cs="Arial" w:eastAsia="Arial" w:hAnsi="Arial"/>
        <w:vertAlign w:val="baseline"/>
      </w:rPr>
    </w:lvl>
    <w:lvl w:ilvl="2">
      <w:start w:val="1"/>
      <w:numFmt w:val="lowerRoman"/>
      <w:lvlText w:val="%3."/>
      <w:lvlJc w:val="right"/>
      <w:pPr>
        <w:ind w:left="1800" w:firstLine="1620"/>
      </w:pPr>
      <w:rPr>
        <w:rFonts w:ascii="Arial" w:cs="Arial" w:eastAsia="Arial" w:hAnsi="Arial"/>
        <w:vertAlign w:val="baseline"/>
      </w:rPr>
    </w:lvl>
    <w:lvl w:ilvl="3">
      <w:start w:val="1"/>
      <w:numFmt w:val="decimal"/>
      <w:lvlText w:val="%4."/>
      <w:lvlJc w:val="left"/>
      <w:pPr>
        <w:ind w:left="2520" w:firstLine="2160"/>
      </w:pPr>
      <w:rPr>
        <w:rFonts w:ascii="Arial" w:cs="Arial" w:eastAsia="Arial" w:hAnsi="Arial"/>
        <w:vertAlign w:val="baseline"/>
      </w:rPr>
    </w:lvl>
    <w:lvl w:ilvl="4">
      <w:start w:val="1"/>
      <w:numFmt w:val="lowerLetter"/>
      <w:lvlText w:val="%5."/>
      <w:lvlJc w:val="left"/>
      <w:pPr>
        <w:ind w:left="3240" w:firstLine="2880"/>
      </w:pPr>
      <w:rPr>
        <w:rFonts w:ascii="Arial" w:cs="Arial" w:eastAsia="Arial" w:hAnsi="Arial"/>
        <w:vertAlign w:val="baseline"/>
      </w:rPr>
    </w:lvl>
    <w:lvl w:ilvl="5">
      <w:start w:val="1"/>
      <w:numFmt w:val="lowerRoman"/>
      <w:lvlText w:val="%6."/>
      <w:lvlJc w:val="right"/>
      <w:pPr>
        <w:ind w:left="3960" w:firstLine="3780"/>
      </w:pPr>
      <w:rPr>
        <w:rFonts w:ascii="Arial" w:cs="Arial" w:eastAsia="Arial" w:hAnsi="Arial"/>
        <w:vertAlign w:val="baseline"/>
      </w:rPr>
    </w:lvl>
    <w:lvl w:ilvl="6">
      <w:start w:val="1"/>
      <w:numFmt w:val="decimal"/>
      <w:lvlText w:val="%7."/>
      <w:lvlJc w:val="left"/>
      <w:pPr>
        <w:ind w:left="4680" w:firstLine="4320"/>
      </w:pPr>
      <w:rPr>
        <w:rFonts w:ascii="Arial" w:cs="Arial" w:eastAsia="Arial" w:hAnsi="Arial"/>
        <w:vertAlign w:val="baseline"/>
      </w:rPr>
    </w:lvl>
    <w:lvl w:ilvl="7">
      <w:start w:val="1"/>
      <w:numFmt w:val="lowerLetter"/>
      <w:lvlText w:val="%8."/>
      <w:lvlJc w:val="left"/>
      <w:pPr>
        <w:ind w:left="5400" w:firstLine="5040"/>
      </w:pPr>
      <w:rPr>
        <w:rFonts w:ascii="Arial" w:cs="Arial" w:eastAsia="Arial" w:hAnsi="Arial"/>
        <w:vertAlign w:val="baseline"/>
      </w:rPr>
    </w:lvl>
    <w:lvl w:ilvl="8">
      <w:start w:val="1"/>
      <w:numFmt w:val="lowerRoman"/>
      <w:lvlText w:val="%9."/>
      <w:lvlJc w:val="right"/>
      <w:pPr>
        <w:ind w:left="6120" w:firstLine="5940"/>
      </w:pPr>
      <w:rPr>
        <w:rFonts w:ascii="Arial" w:cs="Arial" w:eastAsia="Arial" w:hAnsi="Arial"/>
        <w:vertAlign w:val="baseline"/>
      </w:rPr>
    </w:lvl>
  </w:abstractNum>
  <w:abstractNum w:abstractNumId="2">
    <w:lvl w:ilvl="0">
      <w:start w:val="1"/>
      <w:numFmt w:val="bullet"/>
      <w:lvlText w:val="●"/>
      <w:lvlJc w:val="left"/>
      <w:pPr>
        <w:ind w:left="720" w:firstLine="360"/>
      </w:pPr>
      <w:rPr>
        <w:rFonts w:ascii="Arial" w:cs="Arial" w:eastAsia="Arial" w:hAnsi="Arial"/>
        <w:color w:val="17365d"/>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firstLine="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600" w:line="276" w:lineRule="auto"/>
      <w:ind w:left="360" w:right="0" w:hanging="360"/>
      <w:jc w:val="left"/>
    </w:pPr>
    <w:rPr>
      <w:rFonts w:ascii="Calibri" w:cs="Calibri" w:eastAsia="Calibri" w:hAnsi="Calibri"/>
      <w:b w:val="0"/>
      <w:i w:val="0"/>
      <w:smallCaps w:val="0"/>
      <w:strike w:val="0"/>
      <w:color w:val="17365d"/>
      <w:sz w:val="32"/>
      <w:szCs w:val="32"/>
      <w:u w:val="none"/>
      <w:vertAlign w:val="baseline"/>
    </w:rPr>
  </w:style>
  <w:style w:type="paragraph" w:styleId="Heading2">
    <w:name w:val="heading 2"/>
    <w:basedOn w:val="Normal"/>
    <w:next w:val="Normal"/>
    <w:pPr>
      <w:keepNext w:val="0"/>
      <w:keepLines w:val="0"/>
      <w:widowControl w:val="0"/>
      <w:spacing w:after="0" w:before="200" w:line="276" w:lineRule="auto"/>
      <w:ind w:left="0" w:right="0" w:firstLine="0"/>
      <w:jc w:val="both"/>
    </w:pPr>
    <w:rPr>
      <w:rFonts w:ascii="Times New Roman" w:cs="Times New Roman" w:eastAsia="Times New Roman" w:hAnsi="Times New Roman"/>
      <w:b w:val="1"/>
      <w:i w:val="0"/>
      <w:smallCaps w:val="0"/>
      <w:strike w:val="0"/>
      <w:color w:val="365f91"/>
      <w:sz w:val="26"/>
      <w:szCs w:val="26"/>
      <w:u w:val="none"/>
      <w:vertAlign w:val="baseline"/>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0"/>
      <w:keepLines w:val="0"/>
      <w:widowControl w:val="0"/>
      <w:spacing w:after="300" w:before="0" w:line="240" w:lineRule="auto"/>
      <w:ind w:left="0" w:right="0" w:firstLine="0"/>
      <w:jc w:val="both"/>
    </w:pPr>
    <w:rPr>
      <w:rFonts w:ascii="Calibri" w:cs="Calibri" w:eastAsia="Calibri" w:hAnsi="Calibri"/>
      <w:b w:val="0"/>
      <w:i w:val="0"/>
      <w:smallCaps w:val="0"/>
      <w:strike w:val="0"/>
      <w:color w:val="17365d"/>
      <w:sz w:val="52"/>
      <w:szCs w:val="52"/>
      <w:u w:val="none"/>
      <w:vertAlign w:val="baseline"/>
    </w:rPr>
  </w:style>
  <w:style w:type="paragraph" w:styleId="Subtitle">
    <w:name w:val="Subtitle"/>
    <w:basedOn w:val="Normal"/>
    <w:next w:val="Normal"/>
    <w:pPr>
      <w:keepNext w:val="0"/>
      <w:keepLines w:val="0"/>
      <w:widowControl w:val="0"/>
      <w:spacing w:after="120" w:before="240" w:line="240" w:lineRule="auto"/>
      <w:ind w:left="0" w:right="0" w:firstLine="0"/>
      <w:jc w:val="center"/>
    </w:pPr>
    <w:rPr>
      <w:rFonts w:ascii="Arial" w:cs="Arial" w:eastAsia="Arial" w:hAnsi="Arial"/>
      <w:b w:val="0"/>
      <w:i w:val="1"/>
      <w:smallCaps w:val="0"/>
      <w:strike w:val="0"/>
      <w:color w:val="000000"/>
      <w:sz w:val="28"/>
      <w:szCs w:val="2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yperlink" Target="http://opendefinition.org/software-service/" TargetMode="External"/><Relationship Id="rId9" Type="http://schemas.openxmlformats.org/officeDocument/2006/relationships/hyperlink" Target="http://opendefinition.org/software-service/" TargetMode="External"/><Relationship Id="rId5" Type="http://schemas.openxmlformats.org/officeDocument/2006/relationships/hyperlink" Target="http://freedomdefined.org/Definition" TargetMode="External"/><Relationship Id="rId6" Type="http://schemas.openxmlformats.org/officeDocument/2006/relationships/hyperlink" Target="http://freedomdefined.org/Definition" TargetMode="External"/><Relationship Id="rId7" Type="http://schemas.openxmlformats.org/officeDocument/2006/relationships/hyperlink" Target="http://opendefinition.org/" TargetMode="External"/><Relationship Id="rId8" Type="http://schemas.openxmlformats.org/officeDocument/2006/relationships/hyperlink" Target="http://opendefinition.org/" TargetMode="External"/></Relationships>
</file>